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0E" w:rsidRDefault="0090300E">
      <w:pPr>
        <w:spacing w:after="0" w:line="240" w:lineRule="auto"/>
        <w:rPr>
          <w:rFonts w:ascii="Times New Roman" w:hAnsi="Times New Roman"/>
        </w:rPr>
      </w:pPr>
    </w:p>
    <w:p w:rsidR="0090300E" w:rsidRDefault="001907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                         ЖАЛЫКОВ СЕЛЯНА</w:t>
      </w:r>
    </w:p>
    <w:p w:rsidR="0090300E" w:rsidRDefault="001907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ДЖАЛЫКОВСКОГО СЕЛЬСКОГО                                      МУНИЦИПАЛЬН  БУРДЭЦИН</w:t>
      </w:r>
    </w:p>
    <w:p w:rsidR="0090300E" w:rsidRDefault="0019073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АДМИНИСТРАЦИН  ТОГТАВР</w:t>
      </w:r>
    </w:p>
    <w:p w:rsidR="0019073D" w:rsidRDefault="0019073D">
      <w:pPr>
        <w:spacing w:after="0" w:line="240" w:lineRule="auto"/>
        <w:rPr>
          <w:rFonts w:ascii="Times New Roman" w:hAnsi="Times New Roman"/>
        </w:rPr>
      </w:pPr>
    </w:p>
    <w:p w:rsidR="0090300E" w:rsidRDefault="0090300E">
      <w:pPr>
        <w:spacing w:after="0" w:line="240" w:lineRule="auto"/>
        <w:rPr>
          <w:rFonts w:ascii="Times New Roman" w:hAnsi="Times New Roman"/>
        </w:rPr>
      </w:pPr>
    </w:p>
    <w:p w:rsidR="0090300E" w:rsidRDefault="00CF4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августа </w:t>
      </w:r>
      <w:r w:rsidR="0019073D">
        <w:rPr>
          <w:rFonts w:ascii="Times New Roman" w:hAnsi="Times New Roman"/>
          <w:sz w:val="24"/>
          <w:szCs w:val="24"/>
        </w:rPr>
        <w:t xml:space="preserve">2022 г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21</w:t>
      </w:r>
      <w:r w:rsidR="0019073D">
        <w:rPr>
          <w:rFonts w:ascii="Times New Roman" w:hAnsi="Times New Roman"/>
          <w:sz w:val="24"/>
          <w:szCs w:val="24"/>
        </w:rPr>
        <w:t xml:space="preserve">                       </w:t>
      </w:r>
    </w:p>
    <w:p w:rsidR="0090300E" w:rsidRDefault="0090300E">
      <w:pPr>
        <w:pStyle w:val="3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9073D" w:rsidRDefault="0019073D" w:rsidP="0019073D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19073D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Об утверждении Порядка сноса, обрезки зеленых насаждений на территории </w:t>
      </w:r>
      <w:proofErr w:type="spellStart"/>
      <w:r w:rsidRPr="0019073D">
        <w:rPr>
          <w:rFonts w:ascii="Times New Roman" w:hAnsi="Times New Roman" w:cs="Times New Roman"/>
          <w:b w:val="0"/>
          <w:spacing w:val="0"/>
          <w:sz w:val="24"/>
          <w:szCs w:val="24"/>
        </w:rPr>
        <w:t>Джалыковского</w:t>
      </w:r>
      <w:proofErr w:type="spellEnd"/>
      <w:r w:rsidRPr="0019073D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сельского муниципального образования Республики Калмыкия</w:t>
      </w:r>
      <w:r w:rsidRPr="0019073D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,  </w:t>
      </w:r>
    </w:p>
    <w:p w:rsidR="0090300E" w:rsidRPr="0019073D" w:rsidRDefault="0019073D" w:rsidP="0019073D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19073D">
        <w:rPr>
          <w:rFonts w:ascii="Times New Roman" w:hAnsi="Times New Roman" w:cs="Times New Roman"/>
          <w:b w:val="0"/>
          <w:spacing w:val="0"/>
          <w:sz w:val="24"/>
          <w:szCs w:val="24"/>
        </w:rPr>
        <w:t>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:rsidR="0090300E" w:rsidRPr="0019073D" w:rsidRDefault="0090300E" w:rsidP="0019073D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охране окружающей среды», Правилами благоустройства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муниципального образования Республики Калмыкия, утвержденными решением Собрания депутатов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муниципального образования Республики Калмыкия от 11.10.2018 г. № 23-1, Администрация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муниципального образования Республики Калмыкия</w:t>
      </w:r>
    </w:p>
    <w:p w:rsidR="0090300E" w:rsidRDefault="0090300E">
      <w:pPr>
        <w:pStyle w:val="a8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постановляет:</w:t>
      </w: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Утвердить прилагаемый Порядок сноса, обрезки зеленых насаждений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муниципального образования Республики Калмыкия,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муниципального образования Республики Калмыкия.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  Настоящее постановление  вступает в силу с момента подписания.</w:t>
      </w: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9073D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19073D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Республики Калмыкия (</w:t>
      </w:r>
      <w:proofErr w:type="spellStart"/>
      <w:r>
        <w:rPr>
          <w:rFonts w:ascii="Times New Roman" w:hAnsi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br w:type="page"/>
      </w:r>
    </w:p>
    <w:p w:rsidR="0090300E" w:rsidRDefault="0019073D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0"/>
          <w:sz w:val="20"/>
          <w:szCs w:val="20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pacing w:val="0"/>
          <w:sz w:val="20"/>
          <w:szCs w:val="20"/>
        </w:rPr>
        <w:t xml:space="preserve"> постановлением </w:t>
      </w:r>
      <w:r w:rsidR="00DC5F1D">
        <w:rPr>
          <w:rFonts w:ascii="Times New Roman" w:hAnsi="Times New Roman" w:cs="Times New Roman"/>
          <w:spacing w:val="0"/>
          <w:sz w:val="20"/>
          <w:szCs w:val="20"/>
        </w:rPr>
        <w:t>А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дминистрации </w:t>
      </w:r>
    </w:p>
    <w:p w:rsidR="0090300E" w:rsidRDefault="00DC5F1D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pacing w:val="0"/>
          <w:sz w:val="20"/>
          <w:szCs w:val="20"/>
        </w:rPr>
        <w:t>Джалыковс</w:t>
      </w:r>
      <w:r w:rsidR="0019073D">
        <w:rPr>
          <w:rFonts w:ascii="Times New Roman" w:hAnsi="Times New Roman" w:cs="Times New Roman"/>
          <w:spacing w:val="0"/>
          <w:sz w:val="20"/>
          <w:szCs w:val="20"/>
        </w:rPr>
        <w:t>кого</w:t>
      </w:r>
      <w:proofErr w:type="spellEnd"/>
      <w:r w:rsidR="0019073D">
        <w:rPr>
          <w:rFonts w:ascii="Times New Roman" w:hAnsi="Times New Roman" w:cs="Times New Roman"/>
          <w:spacing w:val="0"/>
          <w:sz w:val="20"/>
          <w:szCs w:val="20"/>
        </w:rPr>
        <w:t xml:space="preserve"> СМО РК </w:t>
      </w:r>
    </w:p>
    <w:p w:rsidR="0090300E" w:rsidRDefault="0019073D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 xml:space="preserve">от </w:t>
      </w:r>
      <w:r w:rsidR="00CF4E75">
        <w:rPr>
          <w:rFonts w:ascii="Times New Roman" w:hAnsi="Times New Roman" w:cs="Times New Roman"/>
          <w:spacing w:val="0"/>
          <w:sz w:val="20"/>
          <w:szCs w:val="20"/>
        </w:rPr>
        <w:t>15.08.2022 г.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 № </w:t>
      </w:r>
      <w:r w:rsidR="00CF4E75">
        <w:rPr>
          <w:rFonts w:ascii="Times New Roman" w:hAnsi="Times New Roman" w:cs="Times New Roman"/>
          <w:spacing w:val="0"/>
          <w:sz w:val="20"/>
          <w:szCs w:val="20"/>
        </w:rPr>
        <w:t>21</w:t>
      </w:r>
    </w:p>
    <w:p w:rsidR="0090300E" w:rsidRDefault="0090300E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spacing w:val="0"/>
          <w:sz w:val="20"/>
          <w:szCs w:val="20"/>
        </w:rPr>
      </w:pPr>
    </w:p>
    <w:p w:rsidR="0090300E" w:rsidRPr="00DC5F1D" w:rsidRDefault="0019073D" w:rsidP="00DC5F1D">
      <w:pPr>
        <w:pStyle w:val="3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C5F1D">
        <w:rPr>
          <w:rFonts w:ascii="Times New Roman" w:hAnsi="Times New Roman" w:cs="Times New Roman"/>
          <w:b w:val="0"/>
          <w:spacing w:val="0"/>
          <w:sz w:val="24"/>
          <w:szCs w:val="24"/>
        </w:rPr>
        <w:t>Порядок сноса, обрезки зеленых насаждений на территории</w:t>
      </w:r>
      <w:r w:rsidR="00DC5F1D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proofErr w:type="spellStart"/>
      <w:r w:rsidRPr="00DC5F1D">
        <w:rPr>
          <w:rFonts w:ascii="Times New Roman" w:hAnsi="Times New Roman" w:cs="Times New Roman"/>
          <w:b w:val="0"/>
          <w:spacing w:val="0"/>
          <w:sz w:val="24"/>
          <w:szCs w:val="24"/>
        </w:rPr>
        <w:t>Джалыковского</w:t>
      </w:r>
      <w:proofErr w:type="spellEnd"/>
      <w:r w:rsidRPr="00DC5F1D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DC5F1D" w:rsidRPr="00DC5F1D">
        <w:rPr>
          <w:rFonts w:ascii="Times New Roman" w:hAnsi="Times New Roman" w:cs="Times New Roman"/>
          <w:b w:val="0"/>
          <w:spacing w:val="0"/>
          <w:sz w:val="24"/>
          <w:szCs w:val="24"/>
        </w:rPr>
        <w:t>сельского муниципального образования Республики Калмыкия</w:t>
      </w:r>
      <w:r w:rsidRPr="00DC5F1D">
        <w:rPr>
          <w:rFonts w:ascii="Times New Roman" w:hAnsi="Times New Roman" w:cs="Times New Roman"/>
          <w:b w:val="0"/>
          <w:spacing w:val="0"/>
          <w:sz w:val="24"/>
          <w:szCs w:val="24"/>
        </w:rPr>
        <w:t>, 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:rsidR="0090300E" w:rsidRDefault="0090300E" w:rsidP="00DC5F1D">
      <w:pPr>
        <w:pStyle w:val="3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1. Общие положения.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Настоящий Порядок разработан в соответствии с Федеральным законом от 10.01.2002 № 7-ФЗ «Об охране окружающей среды», Федеральным законом от 06.10.2003 № 131-Ф3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Правилами благоустройства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pacing w:val="0"/>
          <w:sz w:val="24"/>
          <w:szCs w:val="24"/>
        </w:rPr>
        <w:t>, с целью обеспечения и повышения комфортности условий проживания граждан, поддержания и улучшения санитарного и эстетического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состояния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 xml:space="preserve">сельского муниципального образования Республики Калмыкия (далее </w:t>
      </w:r>
      <w:proofErr w:type="spellStart"/>
      <w:r w:rsidR="00BE74C8"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 w:rsidR="00BE74C8">
        <w:rPr>
          <w:rFonts w:ascii="Times New Roman" w:hAnsi="Times New Roman" w:cs="Times New Roman"/>
          <w:spacing w:val="0"/>
          <w:sz w:val="24"/>
          <w:szCs w:val="24"/>
        </w:rPr>
        <w:t xml:space="preserve"> СМО РК)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1.2. Действие Порядка распространяется на юридических и физических лиц, осуществляющих снос, обрезку зеленых насаждений на земельных участках (землях),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1.3. Снос, обрезка зеленых насаждений на земельных участках (землях),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разграничена, осуществляется на основании разрешения на снос, обрезку зеленых насаждений согласно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приложению 1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 настоящему Порядку (далее - разрешение).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1.4. Уполномоченным органом  по выдаче разрешений является 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 (далее - Уполномоченный орган).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1.5. За снос зеленых насаждений в случаях, предусмотренных подпунктами 2.1.1 (за исключением случаев строительства, реконструкции капитального ремонта муниципальных объектов капитального строительства), 2.1.9, 2.1.10, 2.1.11, 2.1.12, юридическими и физическими лицами уплачивается восстановительная стоимость.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1.6. Вред, причиненный несанкционированным сносом (уничтожением или повреждением), обрезкой зеленых насаждений, подлежит возмещению. Размер платы за ущерб, причиненный при незаконном сносе (уничтожении или повреждении), обрезке зеленых насаждений, исчисляется с применением соответствующих утвержденных коэффициентов к нормативам восстановительной стоимости. Возмещение восстановительной стоимости осуществляется в порядке, установленном гражданским законодательством. Необходимые мероприятия по возмещению восстановительной стоимости, в том числе в судебном порядке, осуществляет Уполномоченный орган.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1.7. Администрация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в целях осуществления сноса, обрезки зеленых насаждений, произрастающих на земельных участках,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разграничена, определяет специализированное муниципальное бюджетное учреждение (далее - специализированное учреждение).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1.8. Получение разрешения не требуется в случаях: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1.8.1. Состояния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1.8.2. Специализированному учреждению на снос, обрезку зеленых насаждений, осуществляемых в соответствии с п. 3.2 настоящего Порядка.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1.8.3.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Ресурсоснабжающим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организациям на обрезку и снос зеленых насаждений, произрастающих в охранных зонах подземных и наземных инженерных сетей и коммуникаций, в рамках проведения работ по обеспечению их надежного и безопасного функционирования (в т.ч. исключения аварийных ситуаций), а также капитальному и текущему ремонту инженерных коммуникаций. Размеры охранных зон подземных и наземных инженерных сетей и коммуникаций определены действующими нормативными документами.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1.9. Деятельность по развитию зеленых насаждений осуществляется на принципах: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защиты зеленых насаждений;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комплексности мероприятий по оформлению разрешительной документации на снос, обрезку и восстановление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1.10. Основные понятия, применяемые в настоящем Порядке: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леса, бульвары, скверы, сады, газоны, цветники, а также отдельно стоящие деревья и кустарники);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аварийное дерево - дерево, которое по своему состоянию представляет угрозу для жизни и здоровья человека, сохранности его имущества, наземных коммуникаций и объектов, имеющее один или несколько признаков: угол наклона ствола от земной поверхности равен 45 градусам и менее, наличие более половины усохших ветвей, дупла (диаметром более половины диаметра ствола) в нижней трети ствола,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сухостойность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ствола, наличие обширных (более 20 процентов от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общей площади ствола) поражений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гнилевыми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болезнями, инфекционными заболеваниями и повреждений карантинными вредителями, а также гниль, труха и пустоты во внутренних слоях дерева;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разрешения Уполномоченного органа;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несанкционированный снос зеленых насаждений - снос зеленых насаждений в отсутствие разрешительных документов;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(обрезки) деревьев, а также повреждение зеленых насаждений, повлекшее за собой прекращение их роста и гибель;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покрова, загрязнение зеленых насаждений либо почвы в корневой зоне вредными веществами, поджог и иное причинение вреда;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восстановительная стоимость зеленых насаждений - стоимость зеленых насаждений, которая устанавливается для исчисления их ценности при их вырубке (сносе), повреждении или уничтожении;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реконструкция зеленых насаждений - изменение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санитарная рубка - вырубка аварийных деревьев и кустарников, не подлежащих лечению и оздоровлению,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низкодекоративных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отставших в росте растений, растений порослевого происхождения, загущенных посадок;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рубка ухода - вырубка деревьев и кустарников с целью прореживания загущенных насаждений, удаления неперспективного самосева;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обрезка - опиливание ветвей деревьев, кустарников для формирования желаемого вида крон отдельных деревьев и кустарников (формовочная обрезка), для удаления старых, больных, усыхающих и поврежденных ветвей, а также ветвей, направленных внутрь кроны или сближенных друг с другом (санитарная обрезка), для стимулирования образования молодых побегов, создающих новую крону (омолаживающая обрезка);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уход за зелеными насаждениями - осуществление порубок ухода, санитарной рубки, а также сноса, обрезки зеленых насаждений;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специализированное учреждение - учреждение, выполняющее работы по уходу за зелеными насаждениями и проведению компенсационного озеленения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лицам, в рамках утвержденного Уполномоченным органом муниципального задания;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компенсационное озеленение - воспроизводство зеленых насаждений взамен уничтоженных, снесенных (или поврежденных) и их сохранение до полной приживаемости.</w:t>
      </w: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2. Порядок выдачи разрешения на снос, обрезку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 Снос, обрезка зеленых насаждений осуществляются в следующих случаях: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2.1.1. строительства, реконструкции, капитального ремонта объектов капитального строительства;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2.1.2. удаления аварийных зеленых насаждений;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2.1.3. восстановления режима инсоляции в жилых и нежилых помещениях;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2.1.4. предупреждения или ликвидации аварийных и чрезвычайных ситуаций техногенного и природного характера и их последствий, в том числе ремонта наружных и подземных инженерных сетей;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2.1.5. реконструкции зеленых насаждений или замены на равнозначные зеленые насаждения;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2.1.6. проведения рубок ухода, санитарной рубки;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2.1.7. необходимости улучшения качественного и видового состава зеленых насаждений;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2.1.8. обеспечения нормативной видимости технических средств организации дорожного движения, безопасности движения транспорта и пешеходов;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2.1.9. обеспечения условий для размещения и эксплуатации нестационарных торговых объектов;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2.1.10. обеспечения условий для размещения и эксплуатации рекламных конструкций;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2.1.11. размещения объектов и элементов благоустройства, в том числе конструктивных и планировочных элементов благоустройства входных групп при организации входа в здание (крыльцо, лестница, пандус, дорожка) на земельных участках (землях),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разграничена, без предоставления земельных участков и установления сервитутов;</w:t>
      </w:r>
      <w:proofErr w:type="gramEnd"/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2.1.12. перевода жилого помещения в нежилое помещение, в случае наличия решения о перепланировке переводимого помещения;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2.1.13. сноса зеленых насаждений, произрастающих с нарушением норм 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2.07.01-89*»;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2.1.14. проведения обслуживания капитального или текущего ремонта, реконструкции инженерных коммуникаций, в случае необходимости сноса зеленых насаждений, попадающих в охранные зоны инженерных коммуникаций.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2.2. Основанием для начала работ по сносу, обрезке зеленых насаждений является разрешение на снос, обрезку зеленых насаждений, произрастающих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выданное Уполномоченным органом.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2.3. Срок действия разрешения составляет три года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его выдачи.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2.4. Порубочные остатки должны быть убраны (вывезены) с озелененной территории в течение суток с момента окончания производства работ лицом, получившим разрешение.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2.5. Разрешение должно находиться у лица, осуществляющего работы, на месте производства работ и предъявляться немедленно по требованию должностных лиц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Юридические или физические лица либо их уполномоченные представители, действующие в силу закона или на основании доверенности (далее - заявитель), направляют в Уполномоченный орган заявление (с указанием точных мест произрастания и причин сноса, обрезки зеленых насаждений), содержащее, в том числе, следующие данные о заявителе: 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нахождения заявителя - юридического лица, а также номер (номера) контактного телефона, адрес (адреса) электронной почты (при наличии).</w:t>
      </w:r>
      <w:proofErr w:type="gramEnd"/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2.7. К заявлению прилагаются следующие документы, необходимые для выдачи разрешения: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1) копия документа, удостоверяющего личность заявителя, в случае если с заявлением обращается физическое лицо;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2) документ, подтверждающий полномочия представителя заявителя, и документ, удостоверяющий его личность, в случае если с заявлением обращается представитель заявителя;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3) в случае обеспечения условий для размещения объектов строительства и реконструкции на земельных участках - копии правоустанавливающих документов на земельный участок и разрешения на строительство с решением по озеленению территории (план озеленения) из состава раздела проектной документации на объекты капитального строительства производственного и непроизводственного назначения «Схема планировочной организации земельного участка» в соответствие с требованиями постановления Правительства РФ от 16.02.2008 № 87 «О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разделов проектной документации и требованиях к их содержанию». Решение по озеленению территории (план озеленения) должно предусматривать возможность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реализации компенсационного озеленения. В случае если решение по озеленению в составе схемы планировочной организации земельного участка не предусматривает реализацию компенсационного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озеленения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либо предусматривает его в неполном объеме, к копии разрешения на строительство прикладывается проект благоустройства иной территории, которая определяется по согласованию с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для проведения компенсационных посадок;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4) в случае реконструкции зеленых насаждений на земельных участках - проект реконструкции зеленых насаждений;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5) в случае обеспечения условий для размещения и эксплуатации нестационарных торговых объектов - копия договора на установку и эксплуатацию нестационарного торгового объекта с планом благоустройства территории из состава проекта нестационарного торгового объекта;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6) в случае обеспечения условий для размещения и эксплуатации рекламных конструкций - копия разрешения на установку и эксплуатацию рекламной конструкции;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7) в случае сноса, обрезки зеленых насаждений на земельном участке, не оформленном в установленном законодательством РФ порядке, на котором расположен многоквартирный дом - протокол общего собрания собственников помещений в многоквартирном доме;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8) в случае перевода жилого помещения в нежилое помещение - решение уполномоченного органа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о переводе жилого помещения в нежилое;</w:t>
      </w:r>
      <w:proofErr w:type="gramEnd"/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9) в случае обеспечения условий для размещения объектов и элементов благоустройства, в том числе конструктивных и планировочных элементов благоустройства входных групп при организации входа в здание (крыльцо, лестница, пандус, дорожка), на земельных участках (землях),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разграничена, без предоставления земельных участков и установления сервитутов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- правовой акт о размещении объекта (объектов), принятый уполномоченным органом администрации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с эскизом (</w:t>
      </w:r>
      <w:proofErr w:type="spellStart"/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дизайн-проектом</w:t>
      </w:r>
      <w:proofErr w:type="spellEnd"/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 размещения объекта;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10) с целью восстановления режима инсоляции в жилых и нежилых помещениях,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2.8. Документы, указанные в п. 2.6,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 1, 2, 4, 7, 10 п. 2.7 настоящего раздела, заявитель обязан предоставить самостоятельно.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2.9. Документы, указанные в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3, 5, 6, 8, 9 п. 2.7 настоящего раздела, в случае если они не были представлены заявителем, предоставляются </w:t>
      </w:r>
      <w:r w:rsidR="00BE74C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если данные документы находятся в распоряжении администрации.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2.10. Заявление регистрируется Уполномоченным органом в день его поступления. Разрешение или отказ в выдаче разрешения выдаются или направляются заявителю Уполномоченным органом в срок не более 30 календарных дней со дня регистрации заявления.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2.11. Рассмотрение заявления осуществляется Уполномоченным органом.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2.12. Уполномоченный орган проводит обследование на предмет качественного состояния зеленых насаждений, руководствуясь признаками, предусмотренными п. 4.8 настоящего Порядка.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2.13. Уполномоченный орган осуществляет организацию выезда должностных лиц Уполномоченного органа с представителями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специализированного учреждения для обследования земельного участка на наличие зеленых насаждений, планируемых к сносу, обрезке, подготовку акта обследования зеленых насаждений по форме согласно приложению 2 к настоящему Порядку и выдачу разрешения по форме согласно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приложению 1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 настоящему Порядку. В случае вынужденного сноса, обрезки зеленых насаждений, к вышеуказанному акту обследования прилагается расчет размера восстановительной стоимости зеленых насаждений, планируемых к сносу (обрезке), произведенный уполномоченным органом согласно приложению 3, 4 к настоящему порядку. Акт обследования и расчет размера восстановительной стоимости зеленых насаждений, планируемых к сносу, обрезке с приложением реквизитов перечисления восстановительной стоимости зеленых насаждений в бюджет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направляются заявителю в течение 3 рабочих дней со дня утверждения указанного акта. Не позднее 5 рабочих дней со дня получения расчета восстановительной стоимости зеленых насаждений заявитель должен представить в Уполномоченный орган информацию об оплате восстановительной стоимости зеленых насаждений. Выдача разрешения осуществляется после оплаты восстановительной стоимости за снос, обрезку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Выдача разрешения осуществляется после оплаты восстановительной стоимости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2.14. Уполномоченный орган отказывает заявителю в выдаче разрешения в одном из следующих случаев: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1) непредставление документов, необходимых для выдачи разрешения, обязанность по представлению которых возложена на заявителя, указанных в пункте 2.8 настоящего раздела;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2) поступление в Уполномоченный орган ответа на межведомственный запрос, свидетельствующий об отсутствии документа и (или) информации, необходимых для выдачи разрешения, либо отсутствие в </w:t>
      </w:r>
      <w:r w:rsidR="00826B2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документов, указанных в п. 2.11, необходимых для выдачи разрешения;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3) отсутствие оплаты восстановительной стоимости за снос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2.15. Уполномоченный орган в срок, указанный в пункте 2.10, осуществляет работу по выдаче разрешения, включающую: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1) рассмотрение заявления и документов, необходимых для выдачи разрешения, на предмет их соответствия перечню документов, указанных в п. 2.7 настоящего Порядка; при рассмотрении заявления на снос, обрезку зеленых насаждений осуществляется выезд должностных лиц Уполномоченного органа с представителями специализированного учреждения для обследования земельного участка на наличие зеленых насаждений, планируемых к сносу, обрезке;</w:t>
      </w:r>
      <w:proofErr w:type="gramEnd"/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2) подготовку отказа в выдаче разрешения при выявлении оснований, указанных в п. 2.14 настоящего Порядка;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3) подготовку и выдачу разрешения в случае отсутствия оснований, указанных в п. 2.14 настоящего Порядка.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2.16. Копия выданного разрешения направляется в администрацию района города, на территории которого планируется снос, обрезка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 Особенности осуществления сноса, обрезки зеленых насаждений специализированным учреждением и порядок взаимодействия с Уполномоченным органом.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3.1. Уход за зелеными насаждениями, произрастающими на земельных участках (землях),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разграничена, и не предоставленных физическим и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юридическим лицам во временное владение и (или) пользование осуществляется специализированным учреждением в рамках муниципального задания.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3.2. Осуществление сноса, обрезки зеленых насаждений специализированным учреждением в рамках муниципального задания осуществляется на основании поручения Уполномоченного органа.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В целях формирования и направления поручения специализированному учреждению Уполномоченным органом для обследования земельных участков на предмет наличия оснований для осуществления санитарной рубки и рубок ухода, а также оснований, предусмотренных п. 2.1, для сноса, обрезки зеленых насаждений на место осуществления планируемого сноса, обрезки зеленых насаждений направляются должностные лица Уполномоченного органа с представителями специализированного учреждения.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 результатам обследования Уполномоченным органом подготавливается акт обследования земельного участка с дальнейшим указанием о необходимости проведения сноса, обрезки зеленых насаждений, расположенных на конкретной территории.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На основании акта обследования земельного участка Уполномоченный орган направляет специализированному учреждению поручение в рамках муниципального задания по сносу и обрезке зеленых насаждений, расположенных на конкретной территории.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3.4. За снос зеленых насаждений, выполняемый специализированным учреждением в рамках муниципального задания, возмещение восстановительной стоимости не осуществляется.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3.5. В случае осуществления сноса, обрезки зеленых насаждений специализированным учреждением на основе договора с юридическими или физическими лицами, снос, обрезка зеленых насаждений осуществляется на основании разрешения, выдаваемого в порядке, установленном разделом 2 настоящего Порядка.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 Порядок определения восстановительной стоимости зеленых насаждений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4.1. Восстановительная стоимость зеленых насаждений рассчитывается исходя из затрат, необходимых для воспроизведения древесно-кустарниковой и травянистой растительности, равноценной по своим параметрам уничтоженной (поврежденной).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4.2. Восстановительная стоимость зеленых насаждений складывается 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 с учетом качественного состояния и функционального использования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4.3. Компенсация стоимости зеленых насаждений осуществляется в денежной форме в виде оплаты восстановительной стоимости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4.4. Средства, составляющие восстановительную стоимость зеленых насаждений, подлежат зачислению в бюджет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4.5. Нормативы восстановительной стоимости по различным видам зеленых насаждений: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4.5.1. Норматив восстановительной стоимости одного дерева (Н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1984"/>
        <w:gridCol w:w="1560"/>
        <w:gridCol w:w="2126"/>
      </w:tblGrid>
      <w:tr w:rsidR="0090300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Высота дерева, 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Хвойные деревья (сосна, ель, пихта, лиственница, туя и т.д.), руб./шт.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Лиственные деревья 1 группы (особо ценные): акация белая, бархат амурский, дуб, липа, клен (все виды, кроме клена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ясенелистного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), ясень, каштан, орех, лох, плодовые декоративные, ива белая, руб./шт.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Лиственные деревья 2 группы (ценные): абрикос, береза, боярышник, рябина,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тополь белый и пирамидальный, черемуха, ольха, вяз, осина, руб./шт.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Лиственные деревья 3 группы (малоценные): тополь (все виды, кроме белого и пирамидального), ива (кроме белой), клен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руб./шт. </w:t>
            </w:r>
            <w:proofErr w:type="gramEnd"/>
          </w:p>
        </w:tc>
      </w:tr>
      <w:tr w:rsidR="0090300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от 0,5 м до 1,0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6 906,79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300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 1,0 м до 1,5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10 529,07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300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 1,5 м до 2,0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12 752,96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6 205,02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4 290,13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3 510,01</w:t>
            </w:r>
          </w:p>
        </w:tc>
      </w:tr>
      <w:tr w:rsidR="0090300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 2,0 м до 3,0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14 781,58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9 787,80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6 594,16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4 674,42</w:t>
            </w:r>
          </w:p>
        </w:tc>
      </w:tr>
      <w:tr w:rsidR="0090300E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более 3,0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33 464,29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13 499,55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10 251,35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8 321,34</w:t>
            </w:r>
          </w:p>
        </w:tc>
      </w:tr>
    </w:tbl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4.5.2. Норматив восстановительной стоимости одного кустарника (Н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8"/>
        <w:gridCol w:w="2925"/>
        <w:gridCol w:w="2268"/>
        <w:gridCol w:w="2268"/>
      </w:tblGrid>
      <w:tr w:rsidR="0090300E"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Хвойные кустарники с комом земли 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свободнорастущие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), руб./шт.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Лиственные кустарники с оголенной корневой системой</w:t>
            </w:r>
          </w:p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свободнорастущие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), руб./шт.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Лиственные кустарники с оголенной корневой системой (в живой изгороди однорядной), руб./шт.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Лиственные кустарники с оголенной корневой системой (в живой изгороди двухрядной), руб./шт. </w:t>
            </w:r>
          </w:p>
        </w:tc>
      </w:tr>
      <w:tr w:rsidR="0090300E">
        <w:trPr>
          <w:trHeight w:val="11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6 128,70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1 253,32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742,00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701,09</w:t>
            </w:r>
          </w:p>
        </w:tc>
      </w:tr>
    </w:tbl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4.5.3. Норматив восстановительной стоимости 1 кв. м газона (НЗ):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5"/>
        <w:gridCol w:w="3875"/>
      </w:tblGrid>
      <w:tr w:rsidR="0090300E">
        <w:trPr>
          <w:trHeight w:val="11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 посадки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Обыкновенный газон, руб./м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proofErr w:type="gramEnd"/>
          </w:p>
        </w:tc>
      </w:tr>
      <w:tr w:rsidR="0090300E">
        <w:trPr>
          <w:trHeight w:val="11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Укладка рулонного газона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2 601,23</w:t>
            </w:r>
          </w:p>
        </w:tc>
      </w:tr>
      <w:tr w:rsidR="0090300E">
        <w:trPr>
          <w:trHeight w:val="11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Посев газона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2 344,82</w:t>
            </w:r>
          </w:p>
        </w:tc>
      </w:tr>
    </w:tbl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4.6. Коэффициент, отражающий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):</w:t>
      </w:r>
    </w:p>
    <w:tbl>
      <w:tblPr>
        <w:tblW w:w="8328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850"/>
        <w:gridCol w:w="850"/>
        <w:gridCol w:w="850"/>
        <w:gridCol w:w="744"/>
        <w:gridCol w:w="106"/>
      </w:tblGrid>
      <w:tr w:rsidR="0090300E">
        <w:trPr>
          <w:trHeight w:val="1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2,0</w:t>
            </w:r>
          </w:p>
        </w:tc>
      </w:tr>
      <w:tr w:rsidR="0090300E">
        <w:trPr>
          <w:gridAfter w:val="1"/>
          <w:wAfter w:w="106" w:type="dxa"/>
          <w:trHeight w:val="113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Диаметр дерева</w:t>
            </w:r>
          </w:p>
        </w:tc>
      </w:tr>
      <w:tr w:rsidR="0090300E">
        <w:trPr>
          <w:trHeight w:val="113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12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12,1-24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24,1 - 40 см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40,1 - 80 см</w:t>
            </w:r>
          </w:p>
        </w:tc>
      </w:tr>
      <w:tr w:rsidR="0090300E">
        <w:trPr>
          <w:trHeight w:val="1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Хвойные породы 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ель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ихта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, сосна, лиственница, туя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50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70 лет</w:t>
            </w:r>
          </w:p>
        </w:tc>
      </w:tr>
      <w:tr w:rsidR="0090300E">
        <w:trPr>
          <w:trHeight w:val="1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Лиственные деревья 1 группы (особо ценные): акация белая, бархат амурский, дуб, липа, клен (все виды, кроме клена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ясенелистного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), ясень,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каштан, орех, лох, плодовые декоративные, ива белая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25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60 лет</w:t>
            </w:r>
          </w:p>
        </w:tc>
      </w:tr>
      <w:tr w:rsidR="0090300E">
        <w:trPr>
          <w:trHeight w:val="1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Лиственные деревья 2 группы (ценные): абрикос, береза, боярышник, рябина, тополь белый и пирамидальный, черемуха, ольха, вяз, осина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20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50 лет</w:t>
            </w:r>
          </w:p>
        </w:tc>
      </w:tr>
      <w:tr w:rsidR="0090300E">
        <w:trPr>
          <w:trHeight w:val="1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Лиственные деревья 3 группы (малоценные): тополь (все виды, кроме белого и пирамидального), ива (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белой), клен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18 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50 лет</w:t>
            </w:r>
          </w:p>
        </w:tc>
      </w:tr>
    </w:tbl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4.7. Коэффициент качественного состояния зеленых насаждений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Под воздействием внешних факторов снижается качество зеленых насаждений и, соответственно, величина их восстановительной стоимости. Это учитывается коэффициентами, которые устанавливаются во время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составления расчета размера взыскания ущерба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за снос зеленых насаждений.</w:t>
      </w:r>
    </w:p>
    <w:p w:rsidR="0090300E" w:rsidRDefault="0019073D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Коэффициент качественного состояния зеленых насаждений (К</w:t>
      </w:r>
      <w:proofErr w:type="gramStart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1377"/>
        <w:gridCol w:w="2003"/>
        <w:gridCol w:w="1246"/>
        <w:gridCol w:w="2006"/>
      </w:tblGrid>
      <w:tr w:rsidR="0090300E">
        <w:trPr>
          <w:trHeight w:val="203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Значение</w:t>
            </w:r>
          </w:p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Деревья,</w:t>
            </w:r>
          </w:p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кустарн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 состояния зеленых насаждений</w:t>
            </w:r>
          </w:p>
        </w:tc>
      </w:tr>
      <w:tr w:rsidR="0090300E">
        <w:trPr>
          <w:trHeight w:val="113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E" w:rsidRDefault="0090300E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Подрастающ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 подлесок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Рост и развитие насаждений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Процент деревьев нормального роста и развития</w:t>
            </w:r>
          </w:p>
        </w:tc>
      </w:tr>
      <w:tr w:rsidR="0090300E">
        <w:trPr>
          <w:trHeight w:val="11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1.0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здоровые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 месту произрастания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хорошее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 менее 90</w:t>
            </w:r>
          </w:p>
        </w:tc>
      </w:tr>
      <w:tr w:rsidR="0090300E">
        <w:trPr>
          <w:trHeight w:val="11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0.75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ослабленные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изреженный, поврежденный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замедленное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 менее 50%</w:t>
            </w:r>
          </w:p>
        </w:tc>
      </w:tr>
      <w:tr w:rsidR="0090300E">
        <w:trPr>
          <w:trHeight w:val="11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0.5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угнетенные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Значительно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изреженый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поврежденый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замедленное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00E" w:rsidRDefault="0019073D">
            <w:pPr>
              <w:pStyle w:val="a9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менее 50%</w:t>
            </w:r>
          </w:p>
        </w:tc>
      </w:tr>
    </w:tbl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4.8. Коэффициент, учитывающий функциональное использование зеленых насаждений (КЗ).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По функциональному признаку сельские зеленые насаждения подразделяются на три группы: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общего пользования (сельские парки, парки культуры и отдыха, парки жилых районов и скверы при группах жилых домов, бульвары, лесопарки,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лугопарки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гидропарки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на улицах, площадях, в сельских садах и на набережных и т.д.);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ограниченного пользования (на дворовых территориях, на участках школ, детских учреждений, общественных зданий, спортивных сооружений, учреждений здравоохранения, промышленных предприятий и т.д.);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специального пользования (кладбища, питомники, ботанический и зоологический сады и др.).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В зависимости от группы зеленых насаждений при определении размера восстановительной стоимости применяются следующие коэффициенты: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КЗ = 2 - для зеленых насаждений общего пользования;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КЗ = 5 - для зеленых насаждений специального и ограниченного пользования.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4.9. Порядок расчета размеров восстановительной стоимости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Расчет восстановительной стоимости зеленых насаждений, подлежащих вынужденному сносу, производится по формулам: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= (H1 (Н2)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К1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К2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КЗ) руб., где: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- норматив восстановительной стоимости деревьев;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- норматив восстановительной стоимости кустарников;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Н3 - норматив восстановительной стоимости газона;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- коэффициент, отражающий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 (п. 4.6 настоящего Порядка);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- коэффициент качественного состояния деревьев и кустарников (п. 4.7 настоящего Порядка);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К3 - коэффициент функционального состояния (п. 4.8 настоящего Порядка).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Размер восстановительной стоимости за снос газонов рассчитывается по формуле: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= Н3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К3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F, где: 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Н3 - норматив восстановительной стоимости газона;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К3 - коэффициент функционального состояния (п. 4.8 настоящего Порядка);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 - площадь сносимых газонов (кв. м).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4.10.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ошмыгом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кроны свыше половины ее поверхности, с обдиром коры и повреждением луба свыше 30% поверхности ствола, с обдиром и обрывом скелетных корней свыше половины окружности ствола.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Газоны - при уничтожении (перекопке,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вытаптывании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) свыше 30% их площади.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4.11. Расчет платы (СН) за ущерб, причиненный при незаконном сносе, обрезке зеленых насаждений, исчисляется с применением соответствующих утвержденных коэффициентов к нормативам восстановительной стоимости.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При этом коэффициент качественного состояния зеленых насаждений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 принимается равным единице.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4.14. При незаконном сносе (уничтожении), повреждении зеленых насаждений при расчете по формулам, указанным в п. 4.9 настоящего Порядка, дополнительно применяется коэффициент за несанкционированный снос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4.15. При незаконном сносе (уничтожении) зеленых насаждений применяется повышающий коэффициент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 = 5 к размеру компенсационной стоимости.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4.16. При повреждении зеленых насаждений, не повлекшем прекращения их роста, применяется понижающий коэффициент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 = однократный размер восстановительной стоимости зеленых насаждений.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4.17. В случае невозможности определения фактического состояния вырубленных и (или) уничтоженных зеленых насаждений принимается коэффициент состояния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 = 1,0.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случае невозможности определения видового состава и фактического состояния вырубленных и (или) уничтоженных зеленых насаждений исчисление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размера ущерба проводится по максимальному нормативу восстановительной стоимости 1-й группы лиственных деревьев и применяется (К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) = 1,0. 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 Компенсационное озеленение.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5.1. Компенсационное озеленение производится в случаях повреждения и (или) уничтожения зеленых насаждений, а также в случаях разрешенного сноса зеленых насаждений при осуществлении градостроительной деятельности.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5.2. Организация работ по компенсационному озеленению обеспечивается специализированным муниципальным учреждением, осуществляющим комплексное содержание парков, скверов, набережных и зеленых зон по соглашению с </w:t>
      </w:r>
      <w:r w:rsidR="00826B2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5.3. Уход за зелеными насаждениями, высаженными в рамках компенсационного озеленения, в последующие годы, после окончания финансового года, в котором было проведено компенсационное озеленение, осуществляется в соответствии с муниципальным заданием, реализуемым специализированным муниципальным учреждением, осуществляющим комплексное содержание парков, скверов, набережных и зеленых зон по соглашению с администрацией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5.4. Источниками финансирования мероприятий по компенсационному озеленению являются средства граждан и юридических лиц, виновных в повреждении и (или) уничтожении зеленых насаждений или производящих снос зеленых насаждений при осуществлении градостроительной деятельности, поступающие в бюджет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5.5. Формирование мероприятий по компенсационному озеленению осуществляют главные распорядители бюджетных средств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5.6. В порядке компенсационного озеленения должна производиться высадка зеленых насаждений, адаптированных к климатическим условиям Республики Калмыкия.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них не должно быть механических повреждений, а также признаков поражения болезнями и вредителями. Саженцы с закрытой корневой системой более предпочтительны. Стандарт посадочного материала уточняется проектом. Категорически запрещается завозить и высаживать в городе деревья и кустарники слабо развитые, с уродливыми кронами (однобокими, сплюснутыми и пр.), с наличием ран, повреждениями кроны и штамба, а также поврежденные вредителями и болезнями. Для ремонта и реконструкции насаждений могут использоваться растения больших параметров, нежели предусмотрены стандартом (приложение 5).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5.7. Проведение компенсационного озеленения направлено на обеспечение сохранения и развития зеленого фонда села, нормализацию экологической обстановки и создание благоприятной окружающей среды.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5.8. Компенсационное озеленение производится с учетом следующих требований: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- количество высаживаемых зеленых насаждений и занимаемая ими площадь не должны быть уменьшены (рекомендовано до трех деревьев, соответствующих требованиям таблицы приложения 5, взамен одного снесенного (в зависимости от ценности и декоративности снесенного); до пяти кустарников - взамен снесенного (в зависимости от ценности и декоративности снесенного), один квадратный метр площади восстановленной травянистой растительности - вместо одного квадратного метра площади уничтоженной травянистой растительности (газона));</w:t>
      </w:r>
      <w:proofErr w:type="gramEnd"/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видовой состав высаживаемых деревьев и кустарников должен быть равноценен подвергнутому сносу, уничтоженному видовому составу либо улучшен;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- восстановление производится в пределах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где были произведены снос, повреждение и (или) уничтожение зеленых насаждений;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 территория, на которой осуществляется высадка зеленых насаждений в порядке компенсационного озеленения, должна быть обеспечена системой полива (поливочным водопроводом) либо возможностью полива.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5.9. Высадка зеленых насаждений в порядке компенсационного озеленения производится в ближайший сезон, подходящий для посадки (посева) зеленых насаждений в открытый грунт, в течение двух лет с момента повреждения и (или) уничтожения зеленых насаждений: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а) весной - до распускания почек;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б) осенью - после опадания листьев. 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5.10.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5.11. Субъекты хозяйственной или иной деятельности, осуществляющие снос (повреждение) зеленых насаждений, обязаны возместить восстановительную стоимость зеленых насаждений в денежной форме и в натуральном виде путем проведения компенсационного (восстановительного) озеленения.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5.12. Места высадки зеленых насаждений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на которые не разграничена, в том числе в рамках компенсационного озеленения, должны согласовываться с  </w:t>
      </w:r>
      <w:r w:rsidR="00826B2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во избежание их высадки на существующих или проектируемых инженерных коммуникациях либо на площадках, отведенных на какие-либо цели.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осуществлением сноса, обрезки зеленых насаждений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осуществлением сноса, обрезки зеленых насаждений на земельных участках (землях), расположенных на территории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находящихся в собственности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или государственная собственность на которые не разграничена, осуществляет </w:t>
      </w:r>
      <w:r w:rsidR="00826B2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РК, на территории которой произрастают зеленые насаждения.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6.2. В случае обнаружения фактов незаконного сноса (уничтожения) зеленых насаждений </w:t>
      </w:r>
      <w:r w:rsidR="00826B28">
        <w:rPr>
          <w:rFonts w:ascii="Times New Roman" w:hAnsi="Times New Roman" w:cs="Times New Roman"/>
          <w:spacing w:val="0"/>
          <w:sz w:val="24"/>
          <w:szCs w:val="24"/>
        </w:rPr>
        <w:t>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СМО РК информирует о данном факте Уполномоченный орган.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6.3. При наличии информации о лице, совершившем незаконный снос (уничтожение) зеленых насаждений, Уполномоченный орган в порядке, установленном гражданским законодательством, осуществляет действия по возмещению восстановительной стоимости в бюджет муниципального образования.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6.4.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90300E" w:rsidRDefault="0019073D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br w:type="page"/>
      </w: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826B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 xml:space="preserve">носа, обрезки зеленых насаждений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РК,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исключением зеленых насаждений, произрастающих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земельных участках, принадлежащих на праве собственности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вещном праве физическим или юридическим лицам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РАЗРЕШЕНИЕ №</w:t>
      </w: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с. </w:t>
      </w:r>
      <w:proofErr w:type="spellStart"/>
      <w:r w:rsidR="00826B28">
        <w:rPr>
          <w:rFonts w:ascii="Times New Roman" w:hAnsi="Times New Roman"/>
          <w:sz w:val="24"/>
          <w:szCs w:val="24"/>
          <w:lang w:eastAsia="ar-SA"/>
        </w:rPr>
        <w:t>Джалыково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«____» ________  20___ г.</w:t>
      </w: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Разрешается__________________________________________________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Снос, обрезка  зеленых (сухих) насаждений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73D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19073D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Обоснование сноса, обрезки  насаждений __________________________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Рубке подлежат ________ шт. деревьев, в т.ч. 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нанесенный ущерб произведена оплата в сумме _________ руб.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платежному поручению от " ___" ________ 20___г_________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расчета возмещения ущерба от сноса, обрезки насаждений.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 уплаты освобождены или произведена скидка на основании _______</w:t>
      </w:r>
      <w:proofErr w:type="gramEnd"/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действия разрешения ____________ дней с момента выдачи.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Pr="0019073D">
        <w:rPr>
          <w:rFonts w:ascii="Times New Roman" w:hAnsi="Times New Roman"/>
          <w:sz w:val="24"/>
          <w:szCs w:val="24"/>
          <w:lang w:eastAsia="ru-RU"/>
        </w:rPr>
        <w:t xml:space="preserve"> СМО РК (</w:t>
      </w:r>
      <w:proofErr w:type="spellStart"/>
      <w:r w:rsidRPr="0019073D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19073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Ф.И. О.</w:t>
      </w:r>
    </w:p>
    <w:p w:rsidR="0090300E" w:rsidRDefault="0090300E">
      <w:pPr>
        <w:spacing w:after="0" w:line="240" w:lineRule="auto"/>
        <w:jc w:val="both"/>
        <w:rPr>
          <w:sz w:val="26"/>
          <w:szCs w:val="26"/>
          <w:lang w:eastAsia="ar-SA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Pr="0019073D" w:rsidRDefault="0019073D">
      <w:pPr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19073D">
        <w:rPr>
          <w:rFonts w:ascii="Times New Roman" w:hAnsi="Times New Roman"/>
          <w:sz w:val="24"/>
          <w:szCs w:val="24"/>
          <w:lang w:eastAsia="ru-RU"/>
        </w:rPr>
        <w:t>2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826B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 xml:space="preserve">носа, обрезки зеленых насаждений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РК,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исключением зеленых насаждений, произрастающих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земельных участках, принадлежащих на праве собственности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вещном праве физическим или юридическим лицам</w:t>
      </w: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Джалыковского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муниципального образования РК</w:t>
      </w: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АКТ</w:t>
      </w:r>
    </w:p>
    <w:p w:rsidR="0090300E" w:rsidRDefault="0019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ОБСЛЕДОВАНИЯ СОСТОЯНИЯ ЗЕЛЕНЫХ НАСАЖДЕНИЙ № </w:t>
      </w:r>
    </w:p>
    <w:p w:rsidR="0090300E" w:rsidRDefault="00903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с. </w:t>
      </w:r>
      <w:proofErr w:type="spellStart"/>
      <w:r w:rsidR="00826B28">
        <w:rPr>
          <w:rFonts w:ascii="Times New Roman" w:hAnsi="Times New Roman"/>
          <w:sz w:val="24"/>
          <w:szCs w:val="24"/>
          <w:lang w:eastAsia="ar-SA"/>
        </w:rPr>
        <w:t>Джалыково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«__»___________20___ г.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Мною, ________________________________________________________</w:t>
      </w:r>
    </w:p>
    <w:p w:rsidR="0090300E" w:rsidRDefault="0019073D">
      <w:pPr>
        <w:spacing w:after="0" w:line="240" w:lineRule="auto"/>
        <w:ind w:firstLineChars="1720" w:firstLine="4128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eastAsia="ar-SA"/>
        </w:rPr>
        <w:t>(должность, Ф. И. О. составителя)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присутствии _________________________________________________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период _____ _________ 20__ г. произведено обследование зелёных насаждений, испрашиваемых  к сносу, обрезке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Место произрастания зеленых насаждений - 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Характеристика зеленых насаждений, подлежащих вынужденному сносу, обрезке_______________________________________________________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Порода деревьев, их диаметр, количество – 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Обоснование необходимости (причины) сноса, обрезки зелёных (сухих) насаждений </w:t>
      </w:r>
      <w:r>
        <w:rPr>
          <w:rFonts w:ascii="Times New Roman" w:hAnsi="Times New Roman"/>
          <w:i/>
          <w:sz w:val="24"/>
          <w:szCs w:val="24"/>
          <w:lang w:eastAsia="ar-SA"/>
        </w:rPr>
        <w:t>________________________________________________________________________</w:t>
      </w: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Заключение: </w:t>
      </w:r>
    </w:p>
    <w:p w:rsidR="0090300E" w:rsidRDefault="00903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Подписи:</w:t>
      </w: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Pr="0019073D" w:rsidRDefault="0019073D">
      <w:pPr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19073D">
        <w:rPr>
          <w:rFonts w:ascii="Times New Roman" w:hAnsi="Times New Roman"/>
          <w:sz w:val="24"/>
          <w:szCs w:val="24"/>
          <w:lang w:eastAsia="ru-RU"/>
        </w:rPr>
        <w:t>3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826B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 xml:space="preserve">носа, обрезки зеленых насаждений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РК,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исключением зеленых насаждений, произрастающих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земельных участках, принадлежащих на праве собственности 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вещном праве физическим или юридическим лицам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АКТУ 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N 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размера восстановительной стоимости зеленых насаждений, 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планируемых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сносу, обрезке 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(адрес)</w:t>
      </w:r>
    </w:p>
    <w:tbl>
      <w:tblPr>
        <w:tblpPr w:leftFromText="180" w:rightFromText="180" w:vertAnchor="text" w:horzAnchor="margin" w:tblpY="121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1260"/>
        <w:gridCol w:w="900"/>
        <w:gridCol w:w="2340"/>
        <w:gridCol w:w="941"/>
        <w:gridCol w:w="2835"/>
      </w:tblGrid>
      <w:tr w:rsidR="0090300E">
        <w:trPr>
          <w:trHeight w:val="9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 восстановительной стоимости за единицу (руб.)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,К2,К3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Восстановительная стоимость, (руб.)</w:t>
            </w:r>
          </w:p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Н1 (Н2)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К3</w:t>
            </w:r>
          </w:p>
        </w:tc>
      </w:tr>
      <w:tr w:rsidR="0090300E">
        <w:trPr>
          <w:trHeight w:val="19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00E">
        <w:trPr>
          <w:trHeight w:val="1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Нормативы восстановительной стоимости деревьев, кустарников, газонов (Н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,Н2)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 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норматив восстановительной стоимости деревьев;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 2 - норматив восстановительной стоимости кустарников;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коэффициент отражающий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 (п. 4.6. настоящего порядка);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К2- коэффициент качественного состояния деревьев и кустарников (п. 4.7 настоящего порядка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К3 - коэффициент функционального состояния (п. 4.8 настоящего порядка);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для перечисления восстановительной стоимости за снос зеленых насаждений:</w:t>
      </w:r>
    </w:p>
    <w:p w:rsidR="0090300E" w:rsidRDefault="0019073D">
      <w:pPr>
        <w:pStyle w:val="a6"/>
        <w:spacing w:before="0" w:beforeAutospacing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Возмещение ущерба производить на расчетный счет </w:t>
      </w:r>
      <w:r w:rsidR="00826B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 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возмещения ущерба за снос зеленых насаждений составлен на основании Порядка расчета восстановительной стоимости зеленых насаждений и расчета размера ущерба при незаконных рубках, повреждении, уничтожении зеленых насаждений на территории муниципального о</w:t>
      </w:r>
      <w:r w:rsidR="00826B28">
        <w:rPr>
          <w:rFonts w:ascii="Times New Roman" w:hAnsi="Times New Roman"/>
          <w:sz w:val="24"/>
          <w:szCs w:val="24"/>
          <w:lang w:eastAsia="ru-RU"/>
        </w:rPr>
        <w:t>бразования.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составил __________________________________________________________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90300E" w:rsidRPr="0019073D" w:rsidRDefault="00190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 ____________________________________________</w:t>
      </w:r>
      <w:r w:rsidRPr="0019073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(должность, организация)         (Ф.И.О.)</w:t>
      </w: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826B28" w:rsidRDefault="00826B28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Pr="0019073D" w:rsidRDefault="0019073D">
      <w:pPr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19073D">
        <w:rPr>
          <w:rFonts w:ascii="Times New Roman" w:hAnsi="Times New Roman"/>
          <w:sz w:val="24"/>
          <w:szCs w:val="24"/>
          <w:lang w:eastAsia="ru-RU"/>
        </w:rPr>
        <w:t>4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826B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 xml:space="preserve">носа, обрезки зеленых насаждений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РК,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исключением зеленых насаждений, произрастающих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земельных участках, принадлежащих на праве собственности 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вещном праве физическим или юридическим лицам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РАСЧЕТ 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АКТУ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N 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размера восстановительной стоимости зеленых насаждений, планируемых к сносу, обрезке (газоны)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Нормативы восстановительной стоимости газонов (Н3)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2160"/>
        <w:gridCol w:w="1215"/>
        <w:gridCol w:w="945"/>
        <w:gridCol w:w="1890"/>
        <w:gridCol w:w="615"/>
        <w:gridCol w:w="2409"/>
      </w:tblGrid>
      <w:tr w:rsidR="0090300E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стоимости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един. руб.   (Н3)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руб.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Н3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90300E">
        <w:trPr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Газон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ИТОГО: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190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кв. м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0E" w:rsidRDefault="009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00E" w:rsidRDefault="0090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где: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Н3, - норматив восстановительной стоимости газонов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К3 - коэффициент функционального использования газонов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площадь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сносимых газонов.</w:t>
      </w:r>
    </w:p>
    <w:p w:rsidR="0090300E" w:rsidRDefault="0019073D">
      <w:pPr>
        <w:pStyle w:val="a6"/>
        <w:spacing w:before="0" w:beforeAutospacing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Возмещение ущерба производить на расчетный счет </w:t>
      </w:r>
      <w:r w:rsidR="00826B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муниципа</w:t>
      </w:r>
      <w:r w:rsidR="00826B28">
        <w:rPr>
          <w:rFonts w:ascii="Times New Roman" w:hAnsi="Times New Roman"/>
          <w:sz w:val="24"/>
          <w:szCs w:val="24"/>
        </w:rPr>
        <w:t>льного образования.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возмещения ущерба за снос зеленых насаждений составлен на основании Порядка расчета восстановительной стоимости зеленых насаждений и расчета размера ущерба при незаконных рубках, повреждении, уничтожении зеленых насаждений на террит</w:t>
      </w:r>
      <w:r w:rsidR="00826B28">
        <w:rPr>
          <w:rFonts w:ascii="Times New Roman" w:hAnsi="Times New Roman"/>
          <w:sz w:val="24"/>
          <w:szCs w:val="24"/>
          <w:lang w:eastAsia="ru-RU"/>
        </w:rPr>
        <w:t>ории муниципального образования.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составил __________________________________________________________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19073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00E" w:rsidRDefault="0019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 ___________________________________________</w:t>
      </w:r>
      <w:r w:rsidRPr="0019073D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(должность, организация)         (Ф.И.О.)</w:t>
      </w:r>
    </w:p>
    <w:p w:rsidR="0090300E" w:rsidRDefault="0090300E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B28" w:rsidRDefault="00826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90300E" w:rsidRPr="0019073D" w:rsidRDefault="0019073D">
      <w:pPr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19073D">
        <w:rPr>
          <w:rFonts w:ascii="Times New Roman" w:hAnsi="Times New Roman"/>
          <w:sz w:val="24"/>
          <w:szCs w:val="24"/>
          <w:lang w:eastAsia="ru-RU"/>
        </w:rPr>
        <w:t>5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826B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 xml:space="preserve">носа, обрезки зеленых насаждений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СМО РК,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исключением зеленых насаждений, произрастающих </w:t>
      </w:r>
    </w:p>
    <w:p w:rsidR="0090300E" w:rsidRDefault="001907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земельных участках, принадлежащих на праве собственности </w:t>
      </w:r>
    </w:p>
    <w:p w:rsidR="0090300E" w:rsidRDefault="00190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вещном праве физическим или юридическим лицам</w:t>
      </w:r>
    </w:p>
    <w:p w:rsidR="0090300E" w:rsidRDefault="0090300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90300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0300E" w:rsidRDefault="0019073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Предельные параметры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высаживаемых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 (или) пересаживаемых</w:t>
      </w:r>
    </w:p>
    <w:p w:rsidR="0090300E" w:rsidRDefault="0019073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деревьев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СМО РК</w:t>
      </w:r>
    </w:p>
    <w:p w:rsidR="0090300E" w:rsidRDefault="0090300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508"/>
        <w:gridCol w:w="1279"/>
        <w:gridCol w:w="1292"/>
        <w:gridCol w:w="1108"/>
        <w:gridCol w:w="1102"/>
        <w:gridCol w:w="1400"/>
      </w:tblGrid>
      <w:tr w:rsidR="0090300E">
        <w:tc>
          <w:tcPr>
            <w:tcW w:w="1977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Группа посадочного материала</w:t>
            </w: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Высота посадочного материала,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Диаметр основания штамба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Обхват ствола на высоте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 м, см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Диаметр кома,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Глубина кома,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40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Яма и (или)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траншея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300E">
        <w:tc>
          <w:tcPr>
            <w:tcW w:w="1977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90300E">
        <w:tc>
          <w:tcPr>
            <w:tcW w:w="9570" w:type="dxa"/>
            <w:gridSpan w:val="7"/>
          </w:tcPr>
          <w:p w:rsidR="0090300E" w:rsidRDefault="0019073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дворовых территориях не менее</w:t>
            </w:r>
          </w:p>
        </w:tc>
      </w:tr>
      <w:tr w:rsidR="0090300E">
        <w:trPr>
          <w:trHeight w:val="413"/>
        </w:trPr>
        <w:tc>
          <w:tcPr>
            <w:tcW w:w="1977" w:type="dxa"/>
            <w:vMerge w:val="restart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Деревья с комом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земли</w:t>
            </w:r>
          </w:p>
        </w:tc>
        <w:tc>
          <w:tcPr>
            <w:tcW w:w="1435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200-250</w:t>
            </w:r>
          </w:p>
        </w:tc>
        <w:tc>
          <w:tcPr>
            <w:tcW w:w="1224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30 мм</w:t>
            </w:r>
          </w:p>
        </w:tc>
        <w:tc>
          <w:tcPr>
            <w:tcW w:w="1313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1111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09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01" w:type="dxa"/>
            <w:vMerge w:val="restart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rPr>
          <w:trHeight w:val="412"/>
        </w:trPr>
        <w:tc>
          <w:tcPr>
            <w:tcW w:w="1977" w:type="dxa"/>
            <w:vMerge/>
            <w:shd w:val="clear" w:color="auto" w:fill="auto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250-300</w:t>
            </w:r>
          </w:p>
        </w:tc>
        <w:tc>
          <w:tcPr>
            <w:tcW w:w="1224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40 мм</w:t>
            </w:r>
          </w:p>
        </w:tc>
        <w:tc>
          <w:tcPr>
            <w:tcW w:w="1313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1111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09" w:type="dxa"/>
            <w:shd w:val="clear" w:color="auto" w:fill="auto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01" w:type="dxa"/>
            <w:vMerge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c>
          <w:tcPr>
            <w:tcW w:w="9570" w:type="dxa"/>
            <w:gridSpan w:val="7"/>
          </w:tcPr>
          <w:p w:rsidR="0090300E" w:rsidRDefault="0019073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территориях садов, парков, скверов, набережных, бульваров не менее</w:t>
            </w:r>
          </w:p>
        </w:tc>
      </w:tr>
      <w:tr w:rsidR="0090300E">
        <w:tc>
          <w:tcPr>
            <w:tcW w:w="1977" w:type="dxa"/>
            <w:vMerge w:val="restart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Деревья с комом земли</w:t>
            </w: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300-425</w:t>
            </w:r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50 мм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0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c>
          <w:tcPr>
            <w:tcW w:w="1977" w:type="dxa"/>
            <w:vMerge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350-500</w:t>
            </w:r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60 мм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0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c>
          <w:tcPr>
            <w:tcW w:w="1977" w:type="dxa"/>
            <w:vMerge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425-550</w:t>
            </w:r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70 мм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0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c>
          <w:tcPr>
            <w:tcW w:w="9570" w:type="dxa"/>
            <w:gridSpan w:val="7"/>
          </w:tcPr>
          <w:p w:rsidR="0090300E" w:rsidRDefault="0019073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Вдоль улично-дорожной сети не менее</w:t>
            </w:r>
          </w:p>
        </w:tc>
      </w:tr>
      <w:tr w:rsidR="0090300E">
        <w:tc>
          <w:tcPr>
            <w:tcW w:w="1977" w:type="dxa"/>
            <w:vMerge w:val="restart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Деревья с комом земли</w:t>
            </w: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350-500</w:t>
            </w:r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60 мм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0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c>
          <w:tcPr>
            <w:tcW w:w="1977" w:type="dxa"/>
            <w:vMerge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425-550</w:t>
            </w:r>
          </w:p>
        </w:tc>
        <w:tc>
          <w:tcPr>
            <w:tcW w:w="1224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70 мм</w:t>
            </w:r>
          </w:p>
        </w:tc>
        <w:tc>
          <w:tcPr>
            <w:tcW w:w="1313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0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300E">
        <w:tc>
          <w:tcPr>
            <w:tcW w:w="1977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Кустарники с комом земли</w:t>
            </w:r>
          </w:p>
        </w:tc>
        <w:tc>
          <w:tcPr>
            <w:tcW w:w="1435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09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0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90300E">
        <w:tc>
          <w:tcPr>
            <w:tcW w:w="1977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Кустарники с оголенной корневой системой (без кома) при посадке в ямы с внесением растительной земли в траншею однорядную живую изгородь</w:t>
            </w:r>
          </w:p>
        </w:tc>
        <w:tc>
          <w:tcPr>
            <w:tcW w:w="1435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60х50</w:t>
            </w:r>
          </w:p>
        </w:tc>
      </w:tr>
      <w:tr w:rsidR="0090300E">
        <w:tc>
          <w:tcPr>
            <w:tcW w:w="1977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вьющихся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траншеи в двухрядную живую изгородь</w:t>
            </w:r>
          </w:p>
        </w:tc>
        <w:tc>
          <w:tcPr>
            <w:tcW w:w="1435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</w:tcPr>
          <w:p w:rsidR="0090300E" w:rsidRDefault="009030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90300E" w:rsidRDefault="001907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70х50</w:t>
            </w:r>
          </w:p>
        </w:tc>
      </w:tr>
    </w:tbl>
    <w:p w:rsidR="0090300E" w:rsidRDefault="0090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0300E" w:rsidRDefault="00903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00E" w:rsidRDefault="0090300E">
      <w:pPr>
        <w:pStyle w:val="a8"/>
        <w:spacing w:line="240" w:lineRule="auto"/>
        <w:jc w:val="right"/>
        <w:rPr>
          <w:spacing w:val="0"/>
        </w:rPr>
      </w:pPr>
    </w:p>
    <w:sectPr w:rsidR="0090300E" w:rsidSect="0090300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1D" w:rsidRDefault="00B8401D">
      <w:pPr>
        <w:spacing w:line="240" w:lineRule="auto"/>
      </w:pPr>
      <w:r>
        <w:separator/>
      </w:r>
    </w:p>
  </w:endnote>
  <w:endnote w:type="continuationSeparator" w:id="0">
    <w:p w:rsidR="00B8401D" w:rsidRDefault="00B84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1D" w:rsidRDefault="00B8401D">
      <w:pPr>
        <w:spacing w:after="0"/>
      </w:pPr>
      <w:r>
        <w:separator/>
      </w:r>
    </w:p>
  </w:footnote>
  <w:footnote w:type="continuationSeparator" w:id="0">
    <w:p w:rsidR="00B8401D" w:rsidRDefault="00B840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35"/>
    <w:rsid w:val="000B7036"/>
    <w:rsid w:val="0019073D"/>
    <w:rsid w:val="00192AD1"/>
    <w:rsid w:val="00223398"/>
    <w:rsid w:val="002B2056"/>
    <w:rsid w:val="00826B28"/>
    <w:rsid w:val="0090300E"/>
    <w:rsid w:val="00B30D9F"/>
    <w:rsid w:val="00B8401D"/>
    <w:rsid w:val="00BE74C8"/>
    <w:rsid w:val="00BF6DA5"/>
    <w:rsid w:val="00C202AC"/>
    <w:rsid w:val="00CD7935"/>
    <w:rsid w:val="00CF4E75"/>
    <w:rsid w:val="00D931D3"/>
    <w:rsid w:val="00DC5F1D"/>
    <w:rsid w:val="00EF2DC4"/>
    <w:rsid w:val="288F58E1"/>
    <w:rsid w:val="417141D9"/>
    <w:rsid w:val="4ED6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E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030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unhideWhenUsed/>
    <w:qFormat/>
    <w:rsid w:val="0090300E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90300E"/>
    <w:pPr>
      <w:spacing w:before="100" w:beforeAutospacing="1" w:after="119"/>
    </w:pPr>
    <w:rPr>
      <w:lang w:eastAsia="ru-RU"/>
    </w:rPr>
  </w:style>
  <w:style w:type="paragraph" w:customStyle="1" w:styleId="a7">
    <w:name w:val="[Без стиля]"/>
    <w:qFormat/>
    <w:rsid w:val="0090300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customStyle="1" w:styleId="3">
    <w:name w:val="основной текст3"/>
    <w:basedOn w:val="a7"/>
    <w:uiPriority w:val="99"/>
    <w:qFormat/>
    <w:rsid w:val="0090300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8">
    <w:name w:val="основной текст"/>
    <w:basedOn w:val="a7"/>
    <w:uiPriority w:val="99"/>
    <w:rsid w:val="0090300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9">
    <w:name w:val="Таблица"/>
    <w:basedOn w:val="a7"/>
    <w:uiPriority w:val="99"/>
    <w:qFormat/>
    <w:rsid w:val="0090300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03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2020-09-03T05:42:00Z</dcterms:created>
  <dcterms:modified xsi:type="dcterms:W3CDTF">2022-10-27T12:47:00Z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123536EE28424D2D8820AD79DE66D855</vt:lpwstr>
  </property>
</Properties>
</file>